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A7" w:rsidRDefault="00F8187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64A7" w:rsidRDefault="00F81870">
      <w:pPr>
        <w:ind w:left="1" w:hanging="3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 xml:space="preserve">SOUS CONTRAINTE DE DÉCISION FAVORABLE DE </w:t>
      </w:r>
      <w:proofErr w:type="gramStart"/>
      <w:r>
        <w:rPr>
          <w:color w:val="FF0000"/>
          <w:sz w:val="30"/>
          <w:szCs w:val="30"/>
        </w:rPr>
        <w:t>L’ ANRT</w:t>
      </w:r>
      <w:proofErr w:type="gramEnd"/>
      <w:r>
        <w:rPr>
          <w:color w:val="FF0000"/>
          <w:sz w:val="30"/>
          <w:szCs w:val="30"/>
        </w:rPr>
        <w:t xml:space="preserve"> </w:t>
      </w:r>
    </w:p>
    <w:p w:rsidR="004964A7" w:rsidRDefault="00F81870">
      <w:pPr>
        <w:pBdr>
          <w:top w:val="single" w:sz="4" w:space="1" w:color="000000"/>
        </w:pBdr>
        <w:ind w:left="0" w:hanging="2"/>
        <w:rPr>
          <w:color w:val="3366FF"/>
          <w:sz w:val="20"/>
          <w:szCs w:val="20"/>
        </w:rPr>
      </w:pPr>
      <w:r>
        <w:rPr>
          <w:b/>
          <w:color w:val="6699FF"/>
          <w:sz w:val="20"/>
          <w:szCs w:val="20"/>
        </w:rPr>
        <w:t xml:space="preserve">Partagez la mission du groupe Essilor : améliorer la vision pour améliorer la vie, en rejoignant le numéro 1 mondial de l’optique ophtalmique. Multi-local, le groupe est présent dans 62 pays. Riche de ses nombreux partenariats, Essilor puise sa force dans </w:t>
      </w:r>
      <w:r>
        <w:rPr>
          <w:b/>
          <w:color w:val="6699FF"/>
          <w:sz w:val="20"/>
          <w:szCs w:val="20"/>
        </w:rPr>
        <w:t>son capital humain. L’innovation, véritable moteur de la stratégie du groupe depuis 160 ans, est l’un des principaux piliers de sa réussite. De la conception à la fabrication, Essilor élabore de larges gammes de verres pour corriger et protéger la vue de c</w:t>
      </w:r>
      <w:r>
        <w:rPr>
          <w:b/>
          <w:color w:val="6699FF"/>
          <w:sz w:val="20"/>
          <w:szCs w:val="20"/>
        </w:rPr>
        <w:t>hacun. Pour plus d’informations, rendez-vous sur www.essilor.com !</w:t>
      </w:r>
    </w:p>
    <w:p w:rsidR="004964A7" w:rsidRDefault="004964A7">
      <w:pPr>
        <w:pBdr>
          <w:top w:val="single" w:sz="4" w:space="1" w:color="000000"/>
        </w:pBdr>
        <w:ind w:left="0" w:hanging="2"/>
        <w:rPr>
          <w:sz w:val="24"/>
          <w:szCs w:val="24"/>
        </w:rPr>
      </w:pPr>
    </w:p>
    <w:p w:rsidR="004964A7" w:rsidRDefault="00F81870">
      <w:pPr>
        <w:ind w:left="0" w:hanging="2"/>
      </w:pPr>
      <w:r>
        <w:rPr>
          <w:b/>
        </w:rPr>
        <w:t xml:space="preserve">Date de la demande : </w:t>
      </w:r>
      <w:r>
        <w:t>24</w:t>
      </w:r>
      <w:r>
        <w:t>/0</w:t>
      </w:r>
      <w:r>
        <w:t>5</w:t>
      </w:r>
      <w:r>
        <w:t>/202</w:t>
      </w:r>
      <w:r>
        <w:t>1</w:t>
      </w:r>
    </w:p>
    <w:p w:rsidR="004964A7" w:rsidRDefault="004964A7">
      <w:pPr>
        <w:ind w:left="0" w:hanging="2"/>
        <w:rPr>
          <w:b/>
        </w:rPr>
      </w:pPr>
    </w:p>
    <w:p w:rsidR="004964A7" w:rsidRDefault="00F81870">
      <w:pPr>
        <w:ind w:left="0" w:hanging="2"/>
      </w:pPr>
      <w:r>
        <w:rPr>
          <w:b/>
        </w:rPr>
        <w:t>Nom du responsable</w:t>
      </w:r>
      <w:r>
        <w:rPr>
          <w:b/>
        </w:rPr>
        <w:t xml:space="preserve"> entreprise</w:t>
      </w:r>
      <w:r>
        <w:rPr>
          <w:b/>
        </w:rPr>
        <w:t> :</w:t>
      </w:r>
      <w:r>
        <w:t xml:space="preserve"> </w:t>
      </w:r>
      <w:r>
        <w:t>TARTAGLIA</w:t>
      </w:r>
      <w:r>
        <w:t xml:space="preserve"> </w:t>
      </w:r>
      <w:r>
        <w:t>Elisa</w:t>
      </w:r>
      <w:r>
        <w:tab/>
      </w:r>
      <w:r>
        <w:tab/>
      </w:r>
      <w:r>
        <w:tab/>
      </w:r>
      <w:r>
        <w:rPr>
          <w:b/>
        </w:rPr>
        <w:t xml:space="preserve">Tél : </w:t>
      </w:r>
      <w:r>
        <w:t xml:space="preserve">01 55 96 47 </w:t>
      </w:r>
      <w:r>
        <w:t>29</w:t>
      </w:r>
    </w:p>
    <w:p w:rsidR="004964A7" w:rsidRDefault="004964A7">
      <w:pPr>
        <w:ind w:left="0" w:hanging="2"/>
      </w:pPr>
    </w:p>
    <w:p w:rsidR="004964A7" w:rsidRDefault="00F81870">
      <w:pPr>
        <w:ind w:left="0" w:hanging="2"/>
      </w:pPr>
      <w:r>
        <w:rPr>
          <w:b/>
        </w:rPr>
        <w:t>Nom du responsable académique :</w:t>
      </w:r>
      <w:r>
        <w:t xml:space="preserve"> OTANI </w:t>
      </w:r>
      <w:proofErr w:type="spellStart"/>
      <w:r>
        <w:t>Satoru</w:t>
      </w:r>
      <w:proofErr w:type="spellEnd"/>
      <w:r>
        <w:tab/>
      </w:r>
      <w:r>
        <w:tab/>
      </w:r>
    </w:p>
    <w:p w:rsidR="004964A7" w:rsidRDefault="0049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</w:rPr>
      </w:pPr>
    </w:p>
    <w:p w:rsidR="004964A7" w:rsidRDefault="00F818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333333"/>
        </w:rPr>
      </w:pPr>
      <w:r>
        <w:rPr>
          <w:rFonts w:eastAsia="Arial"/>
          <w:b/>
          <w:color w:val="000000"/>
        </w:rPr>
        <w:t>Descriptif  du service / environnem</w:t>
      </w:r>
      <w:r>
        <w:rPr>
          <w:rFonts w:eastAsia="Arial"/>
          <w:b/>
          <w:color w:val="000000"/>
        </w:rPr>
        <w:t xml:space="preserve">ent de travail : </w:t>
      </w:r>
      <w:proofErr w:type="spellStart"/>
      <w:r>
        <w:t>Dpt</w:t>
      </w:r>
      <w:proofErr w:type="spellEnd"/>
      <w:r>
        <w:rPr>
          <w:rFonts w:eastAsia="Arial"/>
          <w:color w:val="000000"/>
        </w:rPr>
        <w:t xml:space="preserve"> </w:t>
      </w:r>
      <w:r>
        <w:t>Recherche et Prospective</w:t>
      </w:r>
      <w:r>
        <w:rPr>
          <w:rFonts w:eastAsia="Arial"/>
          <w:color w:val="000000"/>
        </w:rPr>
        <w:t>, Services Vision Scien</w:t>
      </w:r>
      <w:r>
        <w:t>ce et Light &amp; Life Science</w:t>
      </w:r>
      <w:r>
        <w:rPr>
          <w:rFonts w:eastAsia="Arial"/>
          <w:color w:val="000000"/>
        </w:rPr>
        <w:t xml:space="preserve">, dans un environnement de Recherche/ Développement. </w:t>
      </w:r>
      <w:r>
        <w:rPr>
          <w:rFonts w:eastAsia="Arial"/>
          <w:color w:val="333333"/>
        </w:rPr>
        <w:t xml:space="preserve">Basé à Bastille </w:t>
      </w:r>
      <w:r>
        <w:rPr>
          <w:color w:val="333333"/>
        </w:rPr>
        <w:t>à l’Institut de la Vision.</w:t>
      </w:r>
    </w:p>
    <w:p w:rsidR="004964A7" w:rsidRDefault="004964A7">
      <w:pPr>
        <w:ind w:left="0" w:hanging="2"/>
      </w:pPr>
    </w:p>
    <w:p w:rsidR="004964A7" w:rsidRDefault="00F81870">
      <w:pPr>
        <w:ind w:left="0" w:hanging="2"/>
        <w:rPr>
          <w:color w:val="333333"/>
        </w:rPr>
      </w:pPr>
      <w:r>
        <w:rPr>
          <w:b/>
        </w:rPr>
        <w:t>Laboratoire académique partenaire</w:t>
      </w:r>
      <w:r>
        <w:rPr>
          <w:b/>
        </w:rPr>
        <w:t xml:space="preserve"> : </w:t>
      </w:r>
      <w:proofErr w:type="spellStart"/>
      <w:r>
        <w:t>Aging</w:t>
      </w:r>
      <w:proofErr w:type="spellEnd"/>
      <w:r>
        <w:t xml:space="preserve"> in Vision and Action </w:t>
      </w:r>
      <w:proofErr w:type="spellStart"/>
      <w:r>
        <w:t>Lab</w:t>
      </w:r>
      <w:proofErr w:type="spellEnd"/>
      <w:r>
        <w:t>, Institut</w:t>
      </w:r>
      <w:r>
        <w:rPr>
          <w:color w:val="333333"/>
        </w:rPr>
        <w:t xml:space="preserve"> de la Vision.</w:t>
      </w:r>
    </w:p>
    <w:p w:rsidR="004964A7" w:rsidRDefault="004964A7">
      <w:pPr>
        <w:ind w:left="0" w:hanging="2"/>
      </w:pPr>
    </w:p>
    <w:p w:rsidR="004964A7" w:rsidRDefault="00F81870">
      <w:pPr>
        <w:ind w:left="0" w:hanging="2"/>
      </w:pPr>
      <w:r>
        <w:rPr>
          <w:b/>
        </w:rPr>
        <w:t>Domaine</w:t>
      </w:r>
      <w:r>
        <w:rPr>
          <w:b/>
        </w:rPr>
        <w:t xml:space="preserve"> </w:t>
      </w:r>
      <w:proofErr w:type="gramStart"/>
      <w:r>
        <w:rPr>
          <w:b/>
        </w:rPr>
        <w:t xml:space="preserve">: </w:t>
      </w:r>
      <w:r>
        <w:rPr>
          <w:color w:val="222222"/>
          <w:highlight w:val="white"/>
        </w:rPr>
        <w:t xml:space="preserve"> Neurosciences</w:t>
      </w:r>
      <w:proofErr w:type="gramEnd"/>
      <w:r>
        <w:rPr>
          <w:color w:val="222222"/>
          <w:highlight w:val="white"/>
        </w:rPr>
        <w:t>, Ecole doctorale 3C</w:t>
      </w:r>
      <w:r>
        <w:rPr>
          <w:b/>
          <w:color w:val="222222"/>
          <w:highlight w:val="white"/>
        </w:rPr>
        <w:t xml:space="preserve"> </w:t>
      </w:r>
      <w:r>
        <w:t xml:space="preserve"> </w:t>
      </w:r>
    </w:p>
    <w:p w:rsidR="004964A7" w:rsidRDefault="00F81870">
      <w:pPr>
        <w:ind w:left="0" w:hanging="2"/>
      </w:pPr>
      <w:r>
        <w:t xml:space="preserve"> </w:t>
      </w:r>
    </w:p>
    <w:p w:rsidR="004964A7" w:rsidRDefault="00F81870">
      <w:pPr>
        <w:ind w:left="0" w:hanging="2"/>
      </w:pPr>
      <w:r>
        <w:rPr>
          <w:b/>
        </w:rPr>
        <w:t>Thématique de recherche</w:t>
      </w:r>
      <w:r>
        <w:rPr>
          <w:b/>
        </w:rPr>
        <w:t xml:space="preserve"> : </w:t>
      </w:r>
    </w:p>
    <w:p w:rsidR="004964A7" w:rsidRDefault="00F818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</w:rPr>
      </w:pPr>
      <w:r>
        <w:rPr>
          <w:color w:val="222222"/>
          <w:highlight w:val="white"/>
        </w:rPr>
        <w:t>Utilisation de l'électroencéphalographie (EEG) pour identifier les mécanismes corticaux sous-jacents à la photosensibilité.</w:t>
      </w:r>
    </w:p>
    <w:p w:rsidR="004964A7" w:rsidRDefault="0049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4964A7" w:rsidRDefault="00F81870">
      <w:pPr>
        <w:ind w:left="0" w:hanging="2"/>
      </w:pPr>
      <w:r>
        <w:rPr>
          <w:b/>
        </w:rPr>
        <w:t xml:space="preserve">Descriptif  de la thématique de recherche : </w:t>
      </w:r>
    </w:p>
    <w:p w:rsidR="004964A7" w:rsidRDefault="00F818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La photosensibilité est définie comme le seuil d’éblouissement d’inconfort. Est considéré comme éblouissement toute lumière entrant dans l'œil qui ne contribue pas à la vision. </w:t>
      </w:r>
    </w:p>
    <w:p w:rsidR="004964A7" w:rsidRDefault="00F818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L’éblouissement d’inconfort est encore assez peu compris et maîtrisé. A ce jour, il n’y a pas de test standardisé et objectif pour l’évaluation de l’éblouissement, d’une part, parce que l’éblouissement implique des origines neurophysiologiques multiples, d</w:t>
      </w:r>
      <w:r>
        <w:t xml:space="preserve">’autre part parce qu’il est dynamique, et enfin parce qu’il peut sensiblement différer d’un patient à un autre. </w:t>
      </w:r>
    </w:p>
    <w:p w:rsidR="004964A7" w:rsidRDefault="00F818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Dans ce contexte, nous avons choisi l'électroencéphalographie (EEG) car l’enregistrement de l’activité corticale pourrait fournir une signature</w:t>
      </w:r>
      <w:r>
        <w:t xml:space="preserve"> d'éblouissement objective, fiable et sans ambiguïté. </w:t>
      </w:r>
    </w:p>
    <w:p w:rsidR="004964A7" w:rsidRDefault="00F818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À terme, nous visons à améliorer le bien-être du porteur en optimisant la recherche de son seuil </w:t>
      </w:r>
      <w:proofErr w:type="gramStart"/>
      <w:r>
        <w:t>d'éblouissement</w:t>
      </w:r>
      <w:proofErr w:type="gramEnd"/>
      <w:r>
        <w:t>, ainsi que le choix automatique du filtre optimal à fournir pour réduire le ressenti d’i</w:t>
      </w:r>
      <w:r>
        <w:t xml:space="preserve">nconfort. </w:t>
      </w:r>
    </w:p>
    <w:p w:rsidR="004964A7" w:rsidRDefault="0049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4964A7" w:rsidRDefault="0049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4964A7" w:rsidRDefault="00F81870">
      <w:pPr>
        <w:ind w:left="0" w:hanging="2"/>
      </w:pPr>
      <w:r>
        <w:rPr>
          <w:b/>
        </w:rPr>
        <w:t>Descriptif  du poste :</w:t>
      </w:r>
    </w:p>
    <w:p w:rsidR="004964A7" w:rsidRDefault="00F818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L</w:t>
      </w:r>
      <w:r>
        <w:t>a thèse</w:t>
      </w:r>
      <w:r>
        <w:rPr>
          <w:rFonts w:eastAsia="Arial"/>
          <w:color w:val="000000"/>
        </w:rPr>
        <w:t xml:space="preserve"> comprendra les étapes suivantes :</w:t>
      </w:r>
    </w:p>
    <w:p w:rsidR="004964A7" w:rsidRDefault="00F81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Bibliographie – état de l’art</w:t>
      </w:r>
    </w:p>
    <w:p w:rsidR="004964A7" w:rsidRDefault="00F81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rédaction et mise en place d</w:t>
      </w:r>
      <w:r>
        <w:t>e plusieurs</w:t>
      </w:r>
      <w:r>
        <w:rPr>
          <w:rFonts w:eastAsia="Arial"/>
          <w:color w:val="000000"/>
        </w:rPr>
        <w:t xml:space="preserve"> protocoles </w:t>
      </w:r>
      <w:r>
        <w:t xml:space="preserve">expérimentaux pour l’enregistrement de </w:t>
      </w:r>
      <w:r>
        <w:lastRenderedPageBreak/>
        <w:t>l’activité corticale de sujets humaines</w:t>
      </w:r>
    </w:p>
    <w:p w:rsidR="004964A7" w:rsidRDefault="00F81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</w:rPr>
      </w:pPr>
      <w:r>
        <w:t>e</w:t>
      </w:r>
      <w:r>
        <w:rPr>
          <w:rFonts w:eastAsia="Arial"/>
          <w:color w:val="000000"/>
        </w:rPr>
        <w:t xml:space="preserve">xpérimentation sur </w:t>
      </w:r>
      <w:r>
        <w:t>40</w:t>
      </w:r>
      <w:r>
        <w:rPr>
          <w:rFonts w:eastAsia="Arial"/>
          <w:color w:val="000000"/>
        </w:rPr>
        <w:t xml:space="preserve"> à 60 sujets</w:t>
      </w:r>
    </w:p>
    <w:p w:rsidR="004964A7" w:rsidRDefault="00F81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analyse</w:t>
      </w:r>
      <w:r>
        <w:t xml:space="preserve"> et interprétation de</w:t>
      </w:r>
      <w:r>
        <w:rPr>
          <w:rFonts w:eastAsia="Arial"/>
          <w:color w:val="000000"/>
        </w:rPr>
        <w:t xml:space="preserve"> </w:t>
      </w:r>
      <w:r>
        <w:t>données EEG</w:t>
      </w:r>
    </w:p>
    <w:p w:rsidR="004964A7" w:rsidRDefault="00F81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</w:rPr>
      </w:pPr>
      <w:r>
        <w:t>Mise en place d’une POC pour une interface machine-cerveau</w:t>
      </w:r>
    </w:p>
    <w:p w:rsidR="004964A7" w:rsidRDefault="00F81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rédaction de la thèse</w:t>
      </w:r>
    </w:p>
    <w:p w:rsidR="004964A7" w:rsidRDefault="004964A7">
      <w:pPr>
        <w:ind w:left="0" w:hanging="2"/>
      </w:pPr>
    </w:p>
    <w:p w:rsidR="004964A7" w:rsidRDefault="004964A7">
      <w:pPr>
        <w:ind w:left="0" w:hanging="2"/>
      </w:pPr>
    </w:p>
    <w:p w:rsidR="004964A7" w:rsidRDefault="00F8187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Profil de l’étudiant et connaissances souhaitables :</w:t>
      </w:r>
    </w:p>
    <w:p w:rsidR="004964A7" w:rsidRDefault="00F81870">
      <w:pPr>
        <w:ind w:left="0" w:hanging="2"/>
      </w:pPr>
      <w:r>
        <w:t xml:space="preserve">Master </w:t>
      </w:r>
      <w:r>
        <w:t>Ingénierie/Physique/Biologie/Neurosciences</w:t>
      </w:r>
      <w:r>
        <w:t xml:space="preserve"> </w:t>
      </w:r>
    </w:p>
    <w:p w:rsidR="004964A7" w:rsidRDefault="00F81870">
      <w:pPr>
        <w:ind w:left="0" w:hanging="2"/>
        <w:rPr>
          <w:color w:val="6699FF"/>
          <w:sz w:val="20"/>
          <w:szCs w:val="20"/>
        </w:rPr>
      </w:pPr>
      <w:r>
        <w:rPr>
          <w:b/>
          <w:i/>
          <w:color w:val="6699FF"/>
          <w:sz w:val="20"/>
          <w:szCs w:val="20"/>
        </w:rPr>
        <w:t>(Ce</w:t>
      </w:r>
      <w:r>
        <w:rPr>
          <w:b/>
          <w:i/>
          <w:color w:val="6699FF"/>
          <w:sz w:val="20"/>
          <w:szCs w:val="20"/>
        </w:rPr>
        <w:t>tte thèse</w:t>
      </w:r>
      <w:r>
        <w:rPr>
          <w:b/>
          <w:i/>
          <w:color w:val="6699FF"/>
          <w:sz w:val="20"/>
          <w:szCs w:val="20"/>
        </w:rPr>
        <w:t xml:space="preserve"> est accessible aux étudiants en situation de handicap)</w:t>
      </w:r>
    </w:p>
    <w:p w:rsidR="004964A7" w:rsidRDefault="004964A7">
      <w:pPr>
        <w:ind w:left="0" w:hanging="2"/>
      </w:pPr>
    </w:p>
    <w:p w:rsidR="004964A7" w:rsidRDefault="00F81870">
      <w:pPr>
        <w:ind w:left="0" w:hanging="2"/>
      </w:pPr>
      <w:r>
        <w:rPr>
          <w:b/>
        </w:rPr>
        <w:t xml:space="preserve">Aptitudes particulières : </w:t>
      </w:r>
      <w:r>
        <w:t xml:space="preserve">Anglais lu et écrit. </w:t>
      </w:r>
      <w:proofErr w:type="spellStart"/>
      <w:r>
        <w:t>M</w:t>
      </w:r>
      <w:r>
        <w:t>atlab</w:t>
      </w:r>
      <w:proofErr w:type="spellEnd"/>
      <w:r>
        <w:t>. Python.</w:t>
      </w:r>
      <w:r>
        <w:t xml:space="preserve"> Expérience avec le traitement du signal biologique. Statistique pour l</w:t>
      </w:r>
      <w:r>
        <w:t>’analyse d</w:t>
      </w:r>
      <w:r>
        <w:t>es données. Intérêt pour BCI (</w:t>
      </w:r>
      <w:proofErr w:type="spellStart"/>
      <w:r>
        <w:t>brain</w:t>
      </w:r>
      <w:proofErr w:type="spellEnd"/>
      <w:r>
        <w:t xml:space="preserve">-computer interface).  </w:t>
      </w:r>
      <w:r>
        <w:t>Goût pour l’expérimentation.</w:t>
      </w:r>
    </w:p>
    <w:p w:rsidR="004964A7" w:rsidRDefault="004964A7">
      <w:pPr>
        <w:ind w:left="0" w:hanging="2"/>
      </w:pPr>
    </w:p>
    <w:p w:rsidR="004964A7" w:rsidRDefault="00F81870">
      <w:pPr>
        <w:ind w:left="0" w:hanging="2"/>
      </w:pPr>
      <w:r>
        <w:rPr>
          <w:b/>
        </w:rPr>
        <w:t>Localisation :</w:t>
      </w:r>
      <w:r>
        <w:t xml:space="preserve"> Bastille (Institut de la Vision)</w:t>
      </w:r>
    </w:p>
    <w:p w:rsidR="004964A7" w:rsidRDefault="004964A7">
      <w:pPr>
        <w:ind w:left="0" w:hanging="2"/>
        <w:rPr>
          <w:b/>
        </w:rPr>
      </w:pPr>
    </w:p>
    <w:p w:rsidR="004964A7" w:rsidRDefault="00F81870">
      <w:pPr>
        <w:ind w:left="0" w:hanging="2"/>
      </w:pPr>
      <w:r>
        <w:rPr>
          <w:b/>
        </w:rPr>
        <w:t xml:space="preserve">Déplacements à prévoir (en France ? à l’étranger ?) </w:t>
      </w:r>
      <w:r>
        <w:t>Parfois entre les sites de Bastille et Créteil</w:t>
      </w:r>
    </w:p>
    <w:p w:rsidR="004964A7" w:rsidRDefault="004964A7">
      <w:pPr>
        <w:ind w:left="0" w:hanging="2"/>
      </w:pPr>
    </w:p>
    <w:p w:rsidR="004964A7" w:rsidRDefault="004964A7">
      <w:pPr>
        <w:ind w:left="1" w:hanging="3"/>
        <w:rPr>
          <w:b/>
          <w:sz w:val="26"/>
          <w:szCs w:val="26"/>
          <w:u w:val="single"/>
        </w:rPr>
      </w:pPr>
    </w:p>
    <w:p w:rsidR="004964A7" w:rsidRDefault="00F81870">
      <w:pPr>
        <w:ind w:left="1" w:hanging="3"/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 xml:space="preserve">Extrait des conditions d’éligibilité à une </w:t>
      </w:r>
      <w:proofErr w:type="spellStart"/>
      <w:r>
        <w:rPr>
          <w:b/>
          <w:color w:val="FF0000"/>
          <w:sz w:val="26"/>
          <w:szCs w:val="26"/>
          <w:u w:val="single"/>
        </w:rPr>
        <w:t>Cifre</w:t>
      </w:r>
      <w:proofErr w:type="spellEnd"/>
    </w:p>
    <w:p w:rsidR="004964A7" w:rsidRDefault="004964A7">
      <w:pPr>
        <w:ind w:left="0" w:hanging="2"/>
      </w:pPr>
    </w:p>
    <w:p w:rsidR="004964A7" w:rsidRDefault="00F81870">
      <w:pPr>
        <w:ind w:left="0" w:hanging="2"/>
      </w:pPr>
      <w:r>
        <w:t>Conformément à l’arrêté du 25 mai 2016 fixant le cadre national de la formation et les modalités</w:t>
      </w:r>
    </w:p>
    <w:p w:rsidR="004964A7" w:rsidRDefault="00F81870">
      <w:pPr>
        <w:ind w:left="0" w:hanging="2"/>
      </w:pPr>
      <w:proofErr w:type="gramStart"/>
      <w:r>
        <w:t>conduisant</w:t>
      </w:r>
      <w:proofErr w:type="gramEnd"/>
      <w:r>
        <w:t xml:space="preserve"> à la délivrance du diplôme national de doctorat, le doctorant doit avoir acquis un</w:t>
      </w:r>
    </w:p>
    <w:p w:rsidR="004964A7" w:rsidRDefault="00F81870">
      <w:pPr>
        <w:ind w:left="0" w:hanging="2"/>
      </w:pPr>
      <w:proofErr w:type="gramStart"/>
      <w:r>
        <w:t>diplôme</w:t>
      </w:r>
      <w:proofErr w:type="gramEnd"/>
      <w:r>
        <w:t xml:space="preserve"> conféra</w:t>
      </w:r>
      <w:r>
        <w:t xml:space="preserve">nt le grade de master ou d’un niveau équivalent, à la date d’effet de la </w:t>
      </w:r>
      <w:proofErr w:type="spellStart"/>
      <w:r>
        <w:t>Cifre</w:t>
      </w:r>
      <w:proofErr w:type="spellEnd"/>
      <w:r>
        <w:t>,</w:t>
      </w:r>
    </w:p>
    <w:p w:rsidR="004964A7" w:rsidRDefault="00F81870">
      <w:pPr>
        <w:ind w:left="0" w:hanging="2"/>
      </w:pPr>
      <w:proofErr w:type="gramStart"/>
      <w:r>
        <w:t>formellement</w:t>
      </w:r>
      <w:proofErr w:type="gramEnd"/>
      <w:r>
        <w:t xml:space="preserve"> mentionnée dans la convention signée par l’ANRT et le bénéficiaire de la</w:t>
      </w:r>
    </w:p>
    <w:p w:rsidR="004964A7" w:rsidRDefault="00F81870">
      <w:pPr>
        <w:ind w:left="0" w:hanging="2"/>
      </w:pPr>
      <w:proofErr w:type="gramStart"/>
      <w:r>
        <w:t>subvention</w:t>
      </w:r>
      <w:proofErr w:type="gramEnd"/>
      <w:r>
        <w:t>.</w:t>
      </w:r>
    </w:p>
    <w:p w:rsidR="004964A7" w:rsidRDefault="00F81870">
      <w:pPr>
        <w:ind w:left="0" w:hanging="2"/>
        <w:rPr>
          <w:b/>
        </w:rPr>
      </w:pPr>
      <w:r>
        <w:t xml:space="preserve">Le dispositif </w:t>
      </w:r>
      <w:proofErr w:type="spellStart"/>
      <w:r>
        <w:t>Cifre</w:t>
      </w:r>
      <w:proofErr w:type="spellEnd"/>
      <w:r>
        <w:t xml:space="preserve"> constitue une modalité pleine et entière de formation doct</w:t>
      </w:r>
      <w:r>
        <w:t>orale.</w:t>
      </w:r>
      <w:r>
        <w:rPr>
          <w:b/>
        </w:rPr>
        <w:t xml:space="preserve"> Le candidat ne</w:t>
      </w:r>
    </w:p>
    <w:p w:rsidR="004964A7" w:rsidRDefault="00F81870">
      <w:pPr>
        <w:ind w:left="0" w:hanging="2"/>
        <w:rPr>
          <w:b/>
        </w:rPr>
      </w:pPr>
      <w:proofErr w:type="gramStart"/>
      <w:r>
        <w:rPr>
          <w:b/>
        </w:rPr>
        <w:t>peut</w:t>
      </w:r>
      <w:proofErr w:type="gramEnd"/>
      <w:r>
        <w:rPr>
          <w:b/>
        </w:rPr>
        <w:t xml:space="preserve"> pas être inscrit en thèse depuis plus de 9 mois à la date de réception par l’ANRT du dossier de demande de </w:t>
      </w:r>
      <w:proofErr w:type="spellStart"/>
      <w:r>
        <w:rPr>
          <w:b/>
        </w:rPr>
        <w:t>Cifre</w:t>
      </w:r>
      <w:proofErr w:type="spellEnd"/>
      <w:r>
        <w:rPr>
          <w:b/>
        </w:rPr>
        <w:t>. Le candidat ne peut pas être docteur, ni avoir démarré une autre thèse.</w:t>
      </w:r>
    </w:p>
    <w:p w:rsidR="004964A7" w:rsidRDefault="00F81870">
      <w:pPr>
        <w:ind w:left="0" w:hanging="2"/>
      </w:pPr>
      <w:r>
        <w:t xml:space="preserve">Le candidat à une </w:t>
      </w:r>
      <w:proofErr w:type="spellStart"/>
      <w:r>
        <w:t>Cifre</w:t>
      </w:r>
      <w:proofErr w:type="spellEnd"/>
      <w:r>
        <w:t xml:space="preserve"> s’engage à préparer</w:t>
      </w:r>
      <w:r>
        <w:t xml:space="preserve"> et à soutenir une thèse pour obtenir le grade de</w:t>
      </w:r>
    </w:p>
    <w:p w:rsidR="004964A7" w:rsidRDefault="00F81870">
      <w:pPr>
        <w:ind w:left="0" w:hanging="2"/>
      </w:pPr>
      <w:proofErr w:type="gramStart"/>
      <w:r>
        <w:t>docteur</w:t>
      </w:r>
      <w:proofErr w:type="gramEnd"/>
      <w:r>
        <w:t xml:space="preserve">. Il s’engage donc à s’inscrire, tout au long de la </w:t>
      </w:r>
      <w:proofErr w:type="spellStart"/>
      <w:r>
        <w:t>Cifre</w:t>
      </w:r>
      <w:proofErr w:type="spellEnd"/>
      <w:r>
        <w:t>, dans un établissement accrédité à</w:t>
      </w:r>
    </w:p>
    <w:p w:rsidR="004964A7" w:rsidRDefault="00F81870">
      <w:pPr>
        <w:ind w:left="0" w:hanging="2"/>
      </w:pPr>
      <w:proofErr w:type="gramStart"/>
      <w:r>
        <w:t>délivrer</w:t>
      </w:r>
      <w:proofErr w:type="gramEnd"/>
      <w:r>
        <w:t xml:space="preserve"> le diplôme de docteur, conformément à l’arrêté précité.</w:t>
      </w:r>
    </w:p>
    <w:p w:rsidR="004964A7" w:rsidRDefault="00F81870">
      <w:pPr>
        <w:ind w:left="0" w:hanging="2"/>
      </w:pPr>
      <w:r>
        <w:t>Il n’y a ni condition de nationalité, ni condition d’âge.</w:t>
      </w:r>
    </w:p>
    <w:p w:rsidR="004964A7" w:rsidRDefault="004964A7">
      <w:pPr>
        <w:ind w:left="0" w:hanging="2"/>
      </w:pPr>
    </w:p>
    <w:p w:rsidR="004964A7" w:rsidRDefault="00F81870">
      <w:pPr>
        <w:ind w:left="0" w:hanging="2"/>
      </w:pPr>
      <w:r>
        <w:rPr>
          <w:b/>
        </w:rPr>
        <w:t>Date de début souhaitée :</w:t>
      </w:r>
      <w:r>
        <w:t xml:space="preserve"> septembre/octobre 2021</w:t>
      </w:r>
      <w:r>
        <w:tab/>
      </w:r>
    </w:p>
    <w:p w:rsidR="004964A7" w:rsidRDefault="004964A7">
      <w:pPr>
        <w:ind w:left="0" w:hanging="2"/>
      </w:pPr>
    </w:p>
    <w:p w:rsidR="004964A7" w:rsidRDefault="00F81870">
      <w:pPr>
        <w:ind w:left="0" w:hanging="2"/>
      </w:pPr>
      <w:r>
        <w:rPr>
          <w:b/>
        </w:rPr>
        <w:t xml:space="preserve">Rémunération mensuelle brute </w:t>
      </w:r>
      <w:proofErr w:type="gramStart"/>
      <w:r>
        <w:rPr>
          <w:b/>
        </w:rPr>
        <w:t xml:space="preserve">: </w:t>
      </w:r>
      <w:r>
        <w:t xml:space="preserve"> 2800</w:t>
      </w:r>
      <w:proofErr w:type="gramEnd"/>
      <w:r>
        <w:t xml:space="preserve">€ </w:t>
      </w:r>
      <w:proofErr w:type="spellStart"/>
      <w:r>
        <w:t>env</w:t>
      </w:r>
      <w:proofErr w:type="spellEnd"/>
      <w:r>
        <w:t xml:space="preserve"> + </w:t>
      </w:r>
      <w:proofErr w:type="spellStart"/>
      <w:r>
        <w:t>env</w:t>
      </w:r>
      <w:proofErr w:type="spellEnd"/>
      <w:r>
        <w:t xml:space="preserve"> 800€ de bonus annuel</w:t>
      </w:r>
    </w:p>
    <w:p w:rsidR="004964A7" w:rsidRDefault="004964A7">
      <w:pPr>
        <w:ind w:left="0" w:hanging="2"/>
      </w:pPr>
    </w:p>
    <w:p w:rsidR="004964A7" w:rsidRDefault="00F81870">
      <w:pPr>
        <w:ind w:left="1" w:hanging="3"/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Tant la date de début que le soutien financier de la bourse sont soumis à la</w:t>
      </w:r>
      <w:r>
        <w:rPr>
          <w:b/>
          <w:color w:val="FF0000"/>
          <w:sz w:val="26"/>
          <w:szCs w:val="26"/>
          <w:u w:val="single"/>
        </w:rPr>
        <w:t xml:space="preserve"> décision finale du comité ANRT, dans les trois mois suivant le dépôt du dossier. </w:t>
      </w:r>
    </w:p>
    <w:p w:rsidR="00FB6385" w:rsidRPr="00FB6385" w:rsidRDefault="00FB6385" w:rsidP="00FB6385">
      <w:pPr>
        <w:widowControl/>
        <w:spacing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/>
        </w:rPr>
      </w:pPr>
      <w:r w:rsidRPr="00FB6385">
        <w:rPr>
          <w:rFonts w:eastAsia="Times New Roman"/>
          <w:b/>
          <w:bCs/>
          <w:color w:val="FF0000"/>
          <w:position w:val="0"/>
          <w:sz w:val="26"/>
          <w:szCs w:val="26"/>
          <w:u w:val="single"/>
          <w:lang w:val="en-US"/>
        </w:rPr>
        <w:t xml:space="preserve">Pour info, la </w:t>
      </w:r>
      <w:proofErr w:type="spellStart"/>
      <w:r w:rsidRPr="00FB6385">
        <w:rPr>
          <w:rFonts w:eastAsia="Times New Roman"/>
          <w:b/>
          <w:bCs/>
          <w:color w:val="FF0000"/>
          <w:position w:val="0"/>
          <w:sz w:val="26"/>
          <w:szCs w:val="26"/>
          <w:u w:val="single"/>
          <w:lang w:val="en-US"/>
        </w:rPr>
        <w:t>probabilité</w:t>
      </w:r>
      <w:proofErr w:type="spellEnd"/>
      <w:r w:rsidRPr="00FB6385">
        <w:rPr>
          <w:rFonts w:eastAsia="Times New Roman"/>
          <w:b/>
          <w:bCs/>
          <w:color w:val="FF0000"/>
          <w:position w:val="0"/>
          <w:sz w:val="26"/>
          <w:szCs w:val="26"/>
          <w:u w:val="single"/>
          <w:lang w:val="en-US"/>
        </w:rPr>
        <w:t xml:space="preserve"> de </w:t>
      </w:r>
      <w:proofErr w:type="spellStart"/>
      <w:r w:rsidRPr="00FB6385">
        <w:rPr>
          <w:rFonts w:eastAsia="Times New Roman"/>
          <w:b/>
          <w:bCs/>
          <w:color w:val="FF0000"/>
          <w:position w:val="0"/>
          <w:sz w:val="26"/>
          <w:szCs w:val="26"/>
          <w:u w:val="single"/>
          <w:lang w:val="en-US"/>
        </w:rPr>
        <w:t>reponse</w:t>
      </w:r>
      <w:proofErr w:type="spellEnd"/>
      <w:r w:rsidRPr="00FB6385">
        <w:rPr>
          <w:rFonts w:eastAsia="Times New Roman"/>
          <w:b/>
          <w:bCs/>
          <w:color w:val="FF0000"/>
          <w:position w:val="0"/>
          <w:sz w:val="26"/>
          <w:szCs w:val="26"/>
          <w:u w:val="single"/>
          <w:lang w:val="en-US"/>
        </w:rPr>
        <w:t xml:space="preserve"> positive </w:t>
      </w:r>
      <w:proofErr w:type="spellStart"/>
      <w:proofErr w:type="gramStart"/>
      <w:r w:rsidRPr="00FB6385">
        <w:rPr>
          <w:rFonts w:eastAsia="Times New Roman"/>
          <w:b/>
          <w:bCs/>
          <w:color w:val="FF0000"/>
          <w:position w:val="0"/>
          <w:sz w:val="26"/>
          <w:szCs w:val="26"/>
          <w:u w:val="single"/>
          <w:lang w:val="en-US"/>
        </w:rPr>
        <w:t>est</w:t>
      </w:r>
      <w:proofErr w:type="spellEnd"/>
      <w:proofErr w:type="gramEnd"/>
      <w:r w:rsidRPr="00FB6385">
        <w:rPr>
          <w:rFonts w:eastAsia="Times New Roman"/>
          <w:b/>
          <w:bCs/>
          <w:color w:val="FF0000"/>
          <w:position w:val="0"/>
          <w:sz w:val="26"/>
          <w:szCs w:val="26"/>
          <w:u w:val="single"/>
          <w:lang w:val="en-US"/>
        </w:rPr>
        <w:t xml:space="preserve"> 97%.</w:t>
      </w:r>
    </w:p>
    <w:p w:rsidR="004964A7" w:rsidRDefault="004964A7">
      <w:pPr>
        <w:ind w:left="0" w:hanging="2"/>
      </w:pPr>
      <w:bookmarkStart w:id="0" w:name="_GoBack"/>
      <w:bookmarkEnd w:id="0"/>
    </w:p>
    <w:p w:rsidR="004964A7" w:rsidRDefault="004964A7">
      <w:pPr>
        <w:ind w:left="0" w:hanging="2"/>
      </w:pPr>
    </w:p>
    <w:p w:rsidR="004964A7" w:rsidRDefault="00F81870">
      <w:pPr>
        <w:ind w:left="0" w:hanging="2"/>
      </w:pPr>
      <w:r>
        <w:rPr>
          <w:b/>
        </w:rPr>
        <w:t xml:space="preserve">Durée : </w:t>
      </w:r>
      <w:r>
        <w:t>3 ans</w:t>
      </w:r>
      <w:r>
        <w:tab/>
      </w:r>
    </w:p>
    <w:p w:rsidR="004964A7" w:rsidRDefault="004964A7">
      <w:pPr>
        <w:ind w:left="0" w:hanging="2"/>
      </w:pPr>
    </w:p>
    <w:p w:rsidR="004964A7" w:rsidRDefault="00F81870">
      <w:pPr>
        <w:ind w:left="0" w:hanging="2"/>
      </w:pPr>
      <w:r>
        <w:rPr>
          <w:b/>
        </w:rPr>
        <w:t xml:space="preserve">Contact : </w:t>
      </w:r>
      <w:r>
        <w:t xml:space="preserve">Merci de bien vouloir déposer votre dossier de candidature auprès </w:t>
      </w:r>
      <w:proofErr w:type="gramStart"/>
      <w:r>
        <w:t>de</w:t>
      </w:r>
      <w:r>
        <w:t xml:space="preserve"> </w:t>
      </w:r>
      <w:hyperlink r:id="rId8">
        <w:r>
          <w:rPr>
            <w:color w:val="0000EE"/>
            <w:u w:val="single"/>
          </w:rPr>
          <w:t>Elisa</w:t>
        </w:r>
        <w:proofErr w:type="gramEnd"/>
        <w:r>
          <w:rPr>
            <w:color w:val="0000EE"/>
            <w:u w:val="single"/>
          </w:rPr>
          <w:t xml:space="preserve"> TARTAGLIA</w:t>
        </w:r>
      </w:hyperlink>
    </w:p>
    <w:p w:rsidR="004964A7" w:rsidRDefault="00F81870">
      <w:pPr>
        <w:ind w:left="0" w:hanging="2"/>
      </w:pPr>
      <w:hyperlink r:id="rId9">
        <w:r>
          <w:rPr>
            <w:color w:val="1155CC"/>
            <w:u w:val="single"/>
          </w:rPr>
          <w:t>tartage@essilor.fr</w:t>
        </w:r>
      </w:hyperlink>
    </w:p>
    <w:p w:rsidR="004964A7" w:rsidRDefault="004964A7">
      <w:pPr>
        <w:ind w:left="0" w:hanging="2"/>
      </w:pPr>
    </w:p>
    <w:p w:rsidR="004964A7" w:rsidRDefault="004964A7">
      <w:pPr>
        <w:pBdr>
          <w:top w:val="single" w:sz="18" w:space="1" w:color="000000"/>
        </w:pBdr>
        <w:ind w:left="0" w:hanging="2"/>
        <w:rPr>
          <w:color w:val="6699FF"/>
          <w:sz w:val="20"/>
          <w:szCs w:val="20"/>
        </w:rPr>
      </w:pPr>
    </w:p>
    <w:sectPr w:rsidR="004964A7">
      <w:headerReference w:type="default" r:id="rId10"/>
      <w:pgSz w:w="11905" w:h="16837"/>
      <w:pgMar w:top="1647" w:right="848" w:bottom="1134" w:left="1134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870" w:rsidRDefault="00F81870">
      <w:pPr>
        <w:spacing w:line="240" w:lineRule="auto"/>
        <w:ind w:left="0" w:hanging="2"/>
      </w:pPr>
      <w:r>
        <w:separator/>
      </w:r>
    </w:p>
  </w:endnote>
  <w:endnote w:type="continuationSeparator" w:id="0">
    <w:p w:rsidR="00F81870" w:rsidRDefault="00F8187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870" w:rsidRDefault="00F81870">
      <w:pPr>
        <w:spacing w:line="240" w:lineRule="auto"/>
        <w:ind w:left="0" w:hanging="2"/>
      </w:pPr>
      <w:r>
        <w:separator/>
      </w:r>
    </w:p>
  </w:footnote>
  <w:footnote w:type="continuationSeparator" w:id="0">
    <w:p w:rsidR="00F81870" w:rsidRDefault="00F8187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4A7" w:rsidRDefault="004964A7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6699FF"/>
        <w:sz w:val="20"/>
        <w:szCs w:val="20"/>
      </w:rPr>
    </w:pPr>
  </w:p>
  <w:tbl>
    <w:tblPr>
      <w:tblStyle w:val="a1"/>
      <w:tblW w:w="977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22"/>
      <w:gridCol w:w="3969"/>
      <w:gridCol w:w="3186"/>
    </w:tblGrid>
    <w:tr w:rsidR="004964A7">
      <w:tc>
        <w:tcPr>
          <w:tcW w:w="2622" w:type="dxa"/>
          <w:vAlign w:val="center"/>
        </w:tcPr>
        <w:p w:rsidR="004964A7" w:rsidRDefault="00F8187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333333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val="en-US"/>
            </w:rPr>
            <w:drawing>
              <wp:inline distT="0" distB="0" distL="114300" distR="114300">
                <wp:extent cx="1571625" cy="523240"/>
                <wp:effectExtent l="0" t="0" r="0" b="0"/>
                <wp:docPr id="1028" name="image1.jpg" descr="C:\Users\casenavs\AppData\Local\Microsoft\Windows\Temporary Internet Files\Content.Word\ESSI G GREY F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casenavs\AppData\Local\Microsoft\Windows\Temporary Internet Files\Content.Word\ESSI G GREY FR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5232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:rsidR="004964A7" w:rsidRDefault="00F818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8"/>
              <w:tab w:val="right" w:pos="9637"/>
              <w:tab w:val="left" w:pos="3332"/>
            </w:tabs>
            <w:spacing w:line="240" w:lineRule="auto"/>
            <w:ind w:left="0" w:hanging="2"/>
            <w:jc w:val="center"/>
            <w:rPr>
              <w:rFonts w:eastAsia="Arial"/>
              <w:color w:val="333333"/>
              <w:sz w:val="24"/>
              <w:szCs w:val="24"/>
            </w:rPr>
          </w:pPr>
          <w:r>
            <w:rPr>
              <w:rFonts w:eastAsia="Arial"/>
              <w:b/>
              <w:color w:val="333333"/>
              <w:sz w:val="24"/>
              <w:szCs w:val="24"/>
            </w:rPr>
            <w:t>ESSILOR INTERNATIONAL</w:t>
          </w:r>
        </w:p>
        <w:p w:rsidR="004964A7" w:rsidRDefault="00F818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8"/>
              <w:tab w:val="right" w:pos="9637"/>
            </w:tabs>
            <w:spacing w:line="240" w:lineRule="auto"/>
            <w:ind w:left="0" w:hanging="2"/>
            <w:jc w:val="center"/>
            <w:rPr>
              <w:rFonts w:eastAsia="Arial"/>
              <w:color w:val="333333"/>
            </w:rPr>
          </w:pPr>
          <w:r>
            <w:rPr>
              <w:rFonts w:eastAsia="Arial"/>
              <w:color w:val="333333"/>
            </w:rPr>
            <w:t>147, rue de Paris</w:t>
          </w:r>
        </w:p>
        <w:p w:rsidR="004964A7" w:rsidRDefault="00F818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8"/>
              <w:tab w:val="right" w:pos="9637"/>
            </w:tabs>
            <w:spacing w:line="240" w:lineRule="auto"/>
            <w:ind w:left="0" w:right="54" w:hanging="2"/>
            <w:jc w:val="center"/>
            <w:rPr>
              <w:rFonts w:eastAsia="Arial"/>
              <w:color w:val="333333"/>
            </w:rPr>
          </w:pPr>
          <w:r>
            <w:rPr>
              <w:rFonts w:eastAsia="Arial"/>
              <w:color w:val="333333"/>
            </w:rPr>
            <w:t>94220 CHARENTON-LE-PONT</w:t>
          </w:r>
        </w:p>
      </w:tc>
      <w:tc>
        <w:tcPr>
          <w:tcW w:w="3186" w:type="dxa"/>
        </w:tcPr>
        <w:p w:rsidR="004964A7" w:rsidRDefault="004964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8"/>
              <w:tab w:val="right" w:pos="9637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333333"/>
            </w:rPr>
          </w:pPr>
        </w:p>
        <w:p w:rsidR="004964A7" w:rsidRDefault="00F81870">
          <w:pPr>
            <w:ind w:left="0" w:hanging="2"/>
            <w:rPr>
              <w:color w:val="333333"/>
              <w:sz w:val="16"/>
              <w:szCs w:val="16"/>
            </w:rPr>
          </w:pPr>
          <w:r>
            <w:rPr>
              <w:b/>
              <w:color w:val="333333"/>
              <w:sz w:val="16"/>
              <w:szCs w:val="16"/>
            </w:rPr>
            <w:t xml:space="preserve">  5 milliards d’Euros de chiffre</w:t>
          </w:r>
        </w:p>
        <w:p w:rsidR="004964A7" w:rsidRDefault="00F81870">
          <w:pPr>
            <w:ind w:left="0" w:hanging="2"/>
            <w:rPr>
              <w:color w:val="333333"/>
              <w:sz w:val="16"/>
              <w:szCs w:val="16"/>
            </w:rPr>
          </w:pPr>
          <w:r>
            <w:rPr>
              <w:b/>
              <w:color w:val="333333"/>
              <w:sz w:val="16"/>
              <w:szCs w:val="16"/>
            </w:rPr>
            <w:t xml:space="preserve">  d’affaires en 2013</w:t>
          </w:r>
        </w:p>
        <w:p w:rsidR="004964A7" w:rsidRDefault="00F81870">
          <w:pPr>
            <w:ind w:left="0" w:hanging="2"/>
            <w:rPr>
              <w:color w:val="333333"/>
              <w:sz w:val="16"/>
              <w:szCs w:val="16"/>
            </w:rPr>
          </w:pPr>
          <w:r>
            <w:rPr>
              <w:b/>
              <w:color w:val="333333"/>
              <w:sz w:val="16"/>
              <w:szCs w:val="16"/>
            </w:rPr>
            <w:t xml:space="preserve">  55 000 collaborateurs</w:t>
          </w:r>
        </w:p>
        <w:p w:rsidR="004964A7" w:rsidRDefault="00F81870">
          <w:pPr>
            <w:ind w:left="0" w:hanging="2"/>
            <w:rPr>
              <w:color w:val="333333"/>
              <w:sz w:val="16"/>
              <w:szCs w:val="16"/>
            </w:rPr>
          </w:pPr>
          <w:r>
            <w:rPr>
              <w:b/>
              <w:color w:val="333333"/>
              <w:sz w:val="16"/>
              <w:szCs w:val="16"/>
            </w:rPr>
            <w:t xml:space="preserve">  Plus de 200 nouveaux produits </w:t>
          </w:r>
        </w:p>
        <w:p w:rsidR="004964A7" w:rsidRDefault="00F81870">
          <w:pPr>
            <w:ind w:left="0" w:hanging="2"/>
            <w:rPr>
              <w:color w:val="333333"/>
              <w:sz w:val="16"/>
              <w:szCs w:val="16"/>
            </w:rPr>
          </w:pPr>
          <w:r>
            <w:rPr>
              <w:b/>
              <w:color w:val="333333"/>
              <w:sz w:val="16"/>
              <w:szCs w:val="16"/>
            </w:rPr>
            <w:t xml:space="preserve">  28 usines de production</w:t>
          </w:r>
        </w:p>
        <w:p w:rsidR="004964A7" w:rsidRDefault="00F81870">
          <w:pPr>
            <w:ind w:left="0" w:hanging="2"/>
            <w:rPr>
              <w:color w:val="333333"/>
              <w:sz w:val="16"/>
              <w:szCs w:val="16"/>
            </w:rPr>
          </w:pPr>
          <w:r>
            <w:rPr>
              <w:b/>
              <w:color w:val="333333"/>
              <w:sz w:val="16"/>
              <w:szCs w:val="16"/>
            </w:rPr>
            <w:t xml:space="preserve">  450 laboratoires de prescription et</w:t>
          </w:r>
        </w:p>
        <w:p w:rsidR="004964A7" w:rsidRDefault="00F81870">
          <w:pPr>
            <w:ind w:left="0" w:hanging="2"/>
            <w:rPr>
              <w:color w:val="333333"/>
              <w:sz w:val="16"/>
              <w:szCs w:val="16"/>
            </w:rPr>
          </w:pPr>
          <w:r>
            <w:rPr>
              <w:b/>
              <w:color w:val="333333"/>
              <w:sz w:val="16"/>
              <w:szCs w:val="16"/>
            </w:rPr>
            <w:t xml:space="preserve">  centres de taillage montage</w:t>
          </w:r>
        </w:p>
        <w:p w:rsidR="004964A7" w:rsidRDefault="00F81870">
          <w:pPr>
            <w:ind w:left="0" w:hanging="2"/>
            <w:rPr>
              <w:color w:val="333333"/>
              <w:sz w:val="16"/>
              <w:szCs w:val="16"/>
            </w:rPr>
          </w:pPr>
          <w:r>
            <w:rPr>
              <w:b/>
              <w:color w:val="333333"/>
              <w:sz w:val="16"/>
              <w:szCs w:val="16"/>
            </w:rPr>
            <w:t xml:space="preserve">  3 centres Innovation &amp; Technologie</w:t>
          </w:r>
        </w:p>
        <w:p w:rsidR="004964A7" w:rsidRDefault="00F81870">
          <w:pPr>
            <w:ind w:left="0" w:hanging="2"/>
            <w:rPr>
              <w:rFonts w:ascii="Times New Roman" w:eastAsia="Times New Roman" w:hAnsi="Times New Roman" w:cs="Times New Roman"/>
              <w:color w:val="333333"/>
            </w:rPr>
          </w:pPr>
          <w:r>
            <w:rPr>
              <w:b/>
              <w:color w:val="333333"/>
              <w:sz w:val="16"/>
              <w:szCs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333333"/>
            </w:rPr>
            <w:t xml:space="preserve"> </w:t>
          </w:r>
        </w:p>
      </w:tc>
    </w:tr>
  </w:tbl>
  <w:p w:rsidR="004964A7" w:rsidRDefault="004964A7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spacing w:line="240" w:lineRule="auto"/>
      <w:ind w:left="0" w:hanging="2"/>
      <w:rPr>
        <w:rFonts w:eastAsia="Arial"/>
        <w:color w:val="333333"/>
        <w:sz w:val="20"/>
        <w:szCs w:val="20"/>
      </w:rPr>
    </w:pPr>
  </w:p>
  <w:p w:rsidR="004964A7" w:rsidRDefault="00F81870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  <w:tab w:val="left" w:pos="2268"/>
      </w:tabs>
      <w:spacing w:line="240" w:lineRule="auto"/>
      <w:ind w:left="2" w:hanging="4"/>
      <w:jc w:val="center"/>
      <w:rPr>
        <w:rFonts w:eastAsia="Arial"/>
        <w:color w:val="333333"/>
        <w:sz w:val="40"/>
        <w:szCs w:val="40"/>
      </w:rPr>
    </w:pPr>
    <w:r>
      <w:rPr>
        <w:rFonts w:eastAsia="Arial"/>
        <w:color w:val="333333"/>
        <w:sz w:val="40"/>
        <w:szCs w:val="40"/>
      </w:rPr>
      <w:t xml:space="preserve">OFFRE DE </w:t>
    </w:r>
    <w:r>
      <w:rPr>
        <w:color w:val="333333"/>
        <w:sz w:val="40"/>
        <w:szCs w:val="40"/>
      </w:rPr>
      <w:t>THÈSE CIFRE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3B96"/>
    <w:multiLevelType w:val="multilevel"/>
    <w:tmpl w:val="6F02F87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A7"/>
    <w:rsid w:val="004964A7"/>
    <w:rsid w:val="00F81870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C4114-D9EC-45D9-AACF-20828EC8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Lucida Sans Unicod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">
    <w:name w:val="Titre 1"/>
    <w:basedOn w:val="Normal"/>
    <w:next w:val="Normal"/>
    <w:pPr>
      <w:keepNext/>
    </w:pPr>
    <w:rPr>
      <w:b/>
      <w:bCs/>
    </w:rPr>
  </w:style>
  <w:style w:type="paragraph" w:customStyle="1" w:styleId="Titre2">
    <w:name w:val="Titre 2"/>
    <w:basedOn w:val="Normal"/>
    <w:next w:val="Normal"/>
    <w:pPr>
      <w:keepNext/>
      <w:outlineLvl w:val="1"/>
    </w:pPr>
    <w:rPr>
      <w:u w:val="single"/>
    </w:rPr>
  </w:style>
  <w:style w:type="character" w:customStyle="1" w:styleId="Policepardfaut">
    <w:name w:val="Police par défaut"/>
    <w:rPr>
      <w:w w:val="100"/>
      <w:position w:val="-1"/>
      <w:effect w:val="none"/>
      <w:vertAlign w:val="baseline"/>
      <w:cs w:val="0"/>
      <w:em w:val="none"/>
    </w:rPr>
  </w:style>
  <w:style w:type="table" w:customStyle="1" w:styleId="TableauNormal">
    <w:name w:val="Tableau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">
    <w:name w:val="Aucune liste"/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0">
    <w:name w:val="Police par défau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enhypertexte">
    <w:name w:val="Lien hypertexte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re">
    <w:name w:val="Titre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Corpsdetexte">
    <w:name w:val="Corps de texte"/>
    <w:basedOn w:val="Normal"/>
    <w:pPr>
      <w:spacing w:after="120"/>
    </w:pPr>
  </w:style>
  <w:style w:type="paragraph" w:customStyle="1" w:styleId="Liste">
    <w:name w:val="Liste"/>
    <w:basedOn w:val="Corpsdetexte"/>
  </w:style>
  <w:style w:type="paragraph" w:customStyle="1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En-tte">
    <w:name w:val="En-tête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Explorateurdedocuments">
    <w:name w:val="Explorateur de documents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Pieddepage">
    <w:name w:val="Pied de page"/>
    <w:basedOn w:val="Normal"/>
    <w:pPr>
      <w:tabs>
        <w:tab w:val="center" w:pos="4536"/>
        <w:tab w:val="right" w:pos="9072"/>
      </w:tabs>
    </w:pPr>
  </w:style>
  <w:style w:type="paragraph" w:customStyle="1" w:styleId="Corpsdetexte2">
    <w:name w:val="Corps de texte 2"/>
    <w:basedOn w:val="Normal"/>
    <w:pPr>
      <w:jc w:val="both"/>
    </w:pPr>
  </w:style>
  <w:style w:type="paragraph" w:styleId="NormalWeb">
    <w:name w:val="Normal (Web)"/>
    <w:basedOn w:val="Normal"/>
    <w:uiPriority w:val="99"/>
    <w:pPr>
      <w:widowControl/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tage@essilor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rtage@essilor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Byn7QEaGXYVomTR/3GJalMqjYQ==">AMUW2mUtq2FYal7gECyQQdBNjy/hdYXAqRVktbtnT4PMzs93IX1UtUl3axZctOZROK3bOnBwuSk7kB7PXlZIzYBJwOu6FH5Xa2tRD9UfUwPS+ael6sZwh+Y=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boutinon</dc:creator>
  <cp:lastModifiedBy>Elisa</cp:lastModifiedBy>
  <cp:revision>2</cp:revision>
  <dcterms:created xsi:type="dcterms:W3CDTF">2020-07-10T10:09:00Z</dcterms:created>
  <dcterms:modified xsi:type="dcterms:W3CDTF">2021-05-31T11:34:00Z</dcterms:modified>
</cp:coreProperties>
</file>